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8B" w:rsidRDefault="00B06D8B" w:rsidP="00DD6DAA">
      <w:pPr>
        <w:pStyle w:val="Docketnumber"/>
      </w:pPr>
      <w:r>
        <w:t xml:space="preserve">PUC DOCKET NO. </w:t>
      </w:r>
      <w:r w:rsidR="0054369A">
        <w:t>47161</w:t>
      </w:r>
      <w:r>
        <w:br/>
        <w:t>SOAH DOCKET NO. 473-</w:t>
      </w:r>
      <w:r w:rsidR="0054369A">
        <w:t>18-1228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rsidTr="0015200A">
        <w:tc>
          <w:tcPr>
            <w:tcW w:w="4608" w:type="dxa"/>
          </w:tcPr>
          <w:p w:rsidR="00B06D8B" w:rsidRDefault="00E469C0" w:rsidP="0015200A">
            <w:pPr>
              <w:pStyle w:val="Docketstyle"/>
            </w:pPr>
            <w:r>
              <w:t>APPLICATION OF KERR COUNTY WATER SYSTEMS, LLC FOR AUTHORITY TO CHANGE RATES</w:t>
            </w:r>
          </w:p>
        </w:tc>
        <w:tc>
          <w:tcPr>
            <w:tcW w:w="360" w:type="dxa"/>
          </w:tcPr>
          <w:p w:rsidR="00B06D8B" w:rsidRDefault="00B06D8B" w:rsidP="0015200A">
            <w:pPr>
              <w:pStyle w:val="Docketstyle"/>
            </w:pPr>
            <w:r>
              <w:t>§</w:t>
            </w:r>
          </w:p>
          <w:p w:rsidR="00B06D8B" w:rsidRDefault="00B06D8B" w:rsidP="0015200A">
            <w:pPr>
              <w:pStyle w:val="Docketstyle"/>
            </w:pPr>
            <w:r>
              <w:t>§</w:t>
            </w:r>
          </w:p>
          <w:p w:rsidR="00B06D8B" w:rsidRDefault="00B06D8B" w:rsidP="0015200A">
            <w:pPr>
              <w:pStyle w:val="Docketstyle"/>
            </w:pPr>
            <w:r>
              <w:t>§</w:t>
            </w:r>
          </w:p>
        </w:tc>
        <w:tc>
          <w:tcPr>
            <w:tcW w:w="4392" w:type="dxa"/>
          </w:tcPr>
          <w:p w:rsidR="00B06D8B" w:rsidRDefault="00B06D8B" w:rsidP="0015200A">
            <w:pPr>
              <w:pStyle w:val="DocketstylePUC"/>
            </w:pPr>
            <w:r>
              <w:t>PUBLIC UTILITY COMMISSION</w:t>
            </w:r>
          </w:p>
          <w:p w:rsidR="00B06D8B" w:rsidRDefault="00B06D8B" w:rsidP="0015200A">
            <w:pPr>
              <w:pStyle w:val="DocketstylePUC"/>
            </w:pPr>
          </w:p>
          <w:p w:rsidR="00B06D8B" w:rsidRDefault="00B06D8B" w:rsidP="0015200A">
            <w:pPr>
              <w:pStyle w:val="DocketstylePUC"/>
            </w:pPr>
            <w:r>
              <w:t>OF TEXAS</w:t>
            </w:r>
          </w:p>
        </w:tc>
      </w:tr>
    </w:tbl>
    <w:p w:rsidR="00B0263A" w:rsidRDefault="00DD6DAA" w:rsidP="00B0263A">
      <w:pPr>
        <w:pStyle w:val="Titleoforder"/>
      </w:pPr>
      <w:r>
        <w:t>DRAFT PRELIMINARY ORDER</w:t>
      </w:r>
    </w:p>
    <w:p w:rsidR="00E469C0" w:rsidRDefault="00E469C0" w:rsidP="00FC458C">
      <w:pPr>
        <w:pStyle w:val="Titleoforder"/>
        <w:spacing w:before="120" w:after="0" w:line="360" w:lineRule="auto"/>
        <w:ind w:firstLine="720"/>
        <w:jc w:val="both"/>
        <w:rPr>
          <w:b w:val="0"/>
        </w:rPr>
      </w:pPr>
      <w:r>
        <w:rPr>
          <w:b w:val="0"/>
        </w:rPr>
        <w:t>Kerr County Water Systems, LLC</w:t>
      </w:r>
      <w:r w:rsidR="00975735">
        <w:rPr>
          <w:b w:val="0"/>
        </w:rPr>
        <w:t>,</w:t>
      </w:r>
      <w:r w:rsidR="00154350">
        <w:rPr>
          <w:b w:val="0"/>
        </w:rPr>
        <w:t xml:space="preserve"> doing business as Bumble Bee Hills Water Systems</w:t>
      </w:r>
      <w:r w:rsidR="00975735">
        <w:rPr>
          <w:b w:val="0"/>
        </w:rPr>
        <w:t>,</w:t>
      </w:r>
      <w:r>
        <w:rPr>
          <w:b w:val="0"/>
        </w:rPr>
        <w:t xml:space="preserve"> filed an application </w:t>
      </w:r>
      <w:r w:rsidR="00003FE1">
        <w:rPr>
          <w:b w:val="0"/>
        </w:rPr>
        <w:t>to change rates</w:t>
      </w:r>
      <w:r w:rsidR="000013AB">
        <w:rPr>
          <w:b w:val="0"/>
        </w:rPr>
        <w:t xml:space="preserve"> under </w:t>
      </w:r>
      <w:r w:rsidR="00154350">
        <w:rPr>
          <w:b w:val="0"/>
        </w:rPr>
        <w:t>Texas Water Code (TWC) § 13.</w:t>
      </w:r>
      <w:r w:rsidR="00975735">
        <w:rPr>
          <w:b w:val="0"/>
        </w:rPr>
        <w:t>1</w:t>
      </w:r>
      <w:r w:rsidR="00154350">
        <w:rPr>
          <w:b w:val="0"/>
        </w:rPr>
        <w:t>871</w:t>
      </w:r>
      <w:r w:rsidR="00F51EA8">
        <w:rPr>
          <w:b w:val="0"/>
        </w:rPr>
        <w:t xml:space="preserve">.  </w:t>
      </w:r>
      <w:r w:rsidR="0066645F">
        <w:rPr>
          <w:b w:val="0"/>
        </w:rPr>
        <w:t>This</w:t>
      </w:r>
      <w:r w:rsidR="00FB0C62">
        <w:rPr>
          <w:b w:val="0"/>
        </w:rPr>
        <w:t xml:space="preserve"> preliminary order identifies the issues that must be addressed in this </w:t>
      </w:r>
      <w:r w:rsidR="0066645F">
        <w:rPr>
          <w:b w:val="0"/>
        </w:rPr>
        <w:t>proceeding</w:t>
      </w:r>
      <w:r w:rsidR="00FB0C62">
        <w:rPr>
          <w:b w:val="0"/>
        </w:rPr>
        <w:t>.</w:t>
      </w:r>
    </w:p>
    <w:p w:rsidR="00933694" w:rsidRDefault="00F51EA8" w:rsidP="00FC458C">
      <w:pPr>
        <w:pStyle w:val="Titleoforder"/>
        <w:spacing w:before="120" w:after="0" w:line="360" w:lineRule="auto"/>
        <w:ind w:firstLine="720"/>
        <w:jc w:val="both"/>
        <w:rPr>
          <w:b w:val="0"/>
        </w:rPr>
      </w:pPr>
      <w:r>
        <w:rPr>
          <w:b w:val="0"/>
        </w:rPr>
        <w:t xml:space="preserve">Kerr County Water Systems is a </w:t>
      </w:r>
      <w:r w:rsidR="00425C73">
        <w:rPr>
          <w:b w:val="0"/>
        </w:rPr>
        <w:t xml:space="preserve">Class C </w:t>
      </w:r>
      <w:r>
        <w:rPr>
          <w:b w:val="0"/>
        </w:rPr>
        <w:t>water utility serving 88 customers in Kerr County, Texas.</w:t>
      </w:r>
      <w:r>
        <w:rPr>
          <w:rStyle w:val="FootnoteReference"/>
          <w:b w:val="0"/>
        </w:rPr>
        <w:footnoteReference w:id="1"/>
      </w:r>
      <w:r>
        <w:rPr>
          <w:b w:val="0"/>
        </w:rPr>
        <w:t xml:space="preserve">  </w:t>
      </w:r>
      <w:r w:rsidR="00182718">
        <w:rPr>
          <w:b w:val="0"/>
        </w:rPr>
        <w:t>It</w:t>
      </w:r>
      <w:r w:rsidR="009B4B3A">
        <w:rPr>
          <w:b w:val="0"/>
        </w:rPr>
        <w:t xml:space="preserve"> requests approval of an </w:t>
      </w:r>
      <w:r w:rsidR="001D6B94">
        <w:rPr>
          <w:b w:val="0"/>
        </w:rPr>
        <w:t>annual reven</w:t>
      </w:r>
      <w:r>
        <w:rPr>
          <w:b w:val="0"/>
        </w:rPr>
        <w:t>ue-requirement increase of $38,</w:t>
      </w:r>
      <w:r w:rsidR="001D6B94">
        <w:rPr>
          <w:b w:val="0"/>
        </w:rPr>
        <w:t>521.05 for water service.</w:t>
      </w:r>
      <w:r w:rsidR="001D6B94">
        <w:rPr>
          <w:rStyle w:val="FootnoteReference"/>
          <w:b w:val="0"/>
        </w:rPr>
        <w:footnoteReference w:id="2"/>
      </w:r>
      <w:r w:rsidR="00425C73">
        <w:rPr>
          <w:b w:val="0"/>
        </w:rPr>
        <w:t xml:space="preserve">  U</w:t>
      </w:r>
      <w:r w:rsidR="00243B8B">
        <w:rPr>
          <w:b w:val="0"/>
        </w:rPr>
        <w:t xml:space="preserve">nder its proposed water-rate increase, the monthly </w:t>
      </w:r>
      <w:r w:rsidR="00291ED0">
        <w:rPr>
          <w:b w:val="0"/>
        </w:rPr>
        <w:t>rate for a wa</w:t>
      </w:r>
      <w:r w:rsidR="00003FE1">
        <w:rPr>
          <w:b w:val="0"/>
        </w:rPr>
        <w:t>ter service customer with a 5/8-inch or 3/4-</w:t>
      </w:r>
      <w:r w:rsidR="00291ED0">
        <w:rPr>
          <w:b w:val="0"/>
        </w:rPr>
        <w:t>inch meter using 5,000 gallons would increase</w:t>
      </w:r>
      <w:r w:rsidR="00BF007F">
        <w:rPr>
          <w:b w:val="0"/>
        </w:rPr>
        <w:t xml:space="preserve"> 75%</w:t>
      </w:r>
      <w:r w:rsidR="00291ED0">
        <w:rPr>
          <w:b w:val="0"/>
        </w:rPr>
        <w:t xml:space="preserve"> from </w:t>
      </w:r>
      <w:r w:rsidR="00BF007F">
        <w:rPr>
          <w:b w:val="0"/>
        </w:rPr>
        <w:t>$27.75 to $48.63</w:t>
      </w:r>
      <w:r w:rsidR="002D0C94">
        <w:rPr>
          <w:b w:val="0"/>
        </w:rPr>
        <w:t xml:space="preserve"> per month</w:t>
      </w:r>
      <w:r w:rsidR="00BF007F">
        <w:rPr>
          <w:b w:val="0"/>
        </w:rPr>
        <w:t>.</w:t>
      </w:r>
      <w:r w:rsidR="00BF007F">
        <w:rPr>
          <w:rStyle w:val="FootnoteReference"/>
          <w:b w:val="0"/>
        </w:rPr>
        <w:footnoteReference w:id="3"/>
      </w:r>
      <w:r w:rsidR="00BF007F">
        <w:rPr>
          <w:b w:val="0"/>
        </w:rPr>
        <w:t xml:space="preserve">  For </w:t>
      </w:r>
      <w:r w:rsidR="008D6584">
        <w:rPr>
          <w:b w:val="0"/>
        </w:rPr>
        <w:t>a customer using 10,000 gallons, rates would increase 49% fr</w:t>
      </w:r>
      <w:r w:rsidR="00664F8C">
        <w:rPr>
          <w:b w:val="0"/>
        </w:rPr>
        <w:t>om $42.75 to $63.73</w:t>
      </w:r>
      <w:r w:rsidR="00182718">
        <w:rPr>
          <w:b w:val="0"/>
        </w:rPr>
        <w:t xml:space="preserve"> per month;</w:t>
      </w:r>
      <w:r w:rsidR="00A72A1C">
        <w:rPr>
          <w:rStyle w:val="FootnoteReference"/>
          <w:b w:val="0"/>
        </w:rPr>
        <w:footnoteReference w:id="4"/>
      </w:r>
      <w:r w:rsidR="00182718">
        <w:rPr>
          <w:b w:val="0"/>
        </w:rPr>
        <w:t xml:space="preserve"> f</w:t>
      </w:r>
      <w:r w:rsidR="002D0C94">
        <w:rPr>
          <w:b w:val="0"/>
        </w:rPr>
        <w:t>or a customer using 30,000 gallons, rates would increase 21% from $102.75 to 124.13 per month.</w:t>
      </w:r>
      <w:r w:rsidR="00A72A1C">
        <w:rPr>
          <w:rStyle w:val="FootnoteReference"/>
          <w:b w:val="0"/>
        </w:rPr>
        <w:footnoteReference w:id="5"/>
      </w:r>
      <w:r w:rsidR="00A72A1C">
        <w:rPr>
          <w:b w:val="0"/>
        </w:rPr>
        <w:t xml:space="preserve">  Under the proposed rate change, the tap fee and other miscellaneous charges would </w:t>
      </w:r>
      <w:r w:rsidR="00182718">
        <w:rPr>
          <w:b w:val="0"/>
        </w:rPr>
        <w:t>not change</w:t>
      </w:r>
      <w:r w:rsidR="00A72A1C">
        <w:rPr>
          <w:b w:val="0"/>
        </w:rPr>
        <w:t>.</w:t>
      </w:r>
      <w:r w:rsidR="00992ABC">
        <w:rPr>
          <w:rStyle w:val="FootnoteReference"/>
          <w:b w:val="0"/>
        </w:rPr>
        <w:footnoteReference w:id="6"/>
      </w:r>
    </w:p>
    <w:p w:rsidR="007758CA" w:rsidRDefault="006A3E8C" w:rsidP="00FC458C">
      <w:pPr>
        <w:pStyle w:val="Titleoforder"/>
        <w:spacing w:before="120" w:after="0" w:line="360" w:lineRule="auto"/>
        <w:ind w:firstLine="720"/>
        <w:jc w:val="both"/>
        <w:rPr>
          <w:b w:val="0"/>
        </w:rPr>
      </w:pPr>
      <w:r>
        <w:rPr>
          <w:b w:val="0"/>
        </w:rPr>
        <w:t>Ker</w:t>
      </w:r>
      <w:r w:rsidR="00181CEA">
        <w:rPr>
          <w:b w:val="0"/>
        </w:rPr>
        <w:t xml:space="preserve">r County Water Systems proposed </w:t>
      </w:r>
      <w:r>
        <w:rPr>
          <w:b w:val="0"/>
        </w:rPr>
        <w:t xml:space="preserve">August 1, 2017 as the effective date for the new rates, however, Commission Staff determined that August 6, 2017 </w:t>
      </w:r>
      <w:r w:rsidR="00181CEA">
        <w:rPr>
          <w:b w:val="0"/>
        </w:rPr>
        <w:t>is earliest</w:t>
      </w:r>
      <w:r w:rsidR="00664F8C">
        <w:rPr>
          <w:b w:val="0"/>
        </w:rPr>
        <w:t xml:space="preserve"> effective date allowable under TWC</w:t>
      </w:r>
      <w:r w:rsidR="001314AE">
        <w:rPr>
          <w:b w:val="0"/>
        </w:rPr>
        <w:t xml:space="preserve"> § 13.1871(b).</w:t>
      </w:r>
      <w:r w:rsidR="00BE15D1">
        <w:rPr>
          <w:rStyle w:val="FootnoteReference"/>
          <w:b w:val="0"/>
        </w:rPr>
        <w:footnoteReference w:id="7"/>
      </w:r>
      <w:r w:rsidR="009470A3">
        <w:rPr>
          <w:b w:val="0"/>
        </w:rPr>
        <w:t xml:space="preserve">  </w:t>
      </w:r>
      <w:r w:rsidR="00603D74">
        <w:rPr>
          <w:b w:val="0"/>
        </w:rPr>
        <w:t xml:space="preserve">Additionally, </w:t>
      </w:r>
      <w:r w:rsidR="00303733">
        <w:rPr>
          <w:b w:val="0"/>
        </w:rPr>
        <w:t>Commission Staff recommended</w:t>
      </w:r>
      <w:r w:rsidR="00566302">
        <w:rPr>
          <w:b w:val="0"/>
        </w:rPr>
        <w:t xml:space="preserve"> </w:t>
      </w:r>
      <w:r w:rsidR="00303733">
        <w:rPr>
          <w:b w:val="0"/>
        </w:rPr>
        <w:t>suspension of the effective date of the rate change, and the</w:t>
      </w:r>
      <w:r w:rsidR="005A002C">
        <w:rPr>
          <w:b w:val="0"/>
        </w:rPr>
        <w:t xml:space="preserve"> </w:t>
      </w:r>
      <w:r w:rsidR="00303733">
        <w:rPr>
          <w:b w:val="0"/>
        </w:rPr>
        <w:lastRenderedPageBreak/>
        <w:t xml:space="preserve">Commission administrative law judge </w:t>
      </w:r>
      <w:r w:rsidR="0024761F">
        <w:rPr>
          <w:b w:val="0"/>
        </w:rPr>
        <w:t xml:space="preserve">(ALJ) </w:t>
      </w:r>
      <w:r w:rsidR="00303733">
        <w:rPr>
          <w:b w:val="0"/>
        </w:rPr>
        <w:t>suspended the effective date for no more than 265 days.</w:t>
      </w:r>
      <w:r w:rsidR="00303733">
        <w:rPr>
          <w:rStyle w:val="FootnoteReference"/>
          <w:b w:val="0"/>
        </w:rPr>
        <w:footnoteReference w:id="8"/>
      </w:r>
      <w:r w:rsidR="00566302">
        <w:rPr>
          <w:b w:val="0"/>
        </w:rPr>
        <w:t xml:space="preserve">  </w:t>
      </w:r>
    </w:p>
    <w:p w:rsidR="006A3E8C" w:rsidRPr="00E469C0" w:rsidRDefault="00566302" w:rsidP="00FC458C">
      <w:pPr>
        <w:pStyle w:val="Titleoforder"/>
        <w:spacing w:before="120" w:line="360" w:lineRule="auto"/>
        <w:ind w:firstLine="720"/>
        <w:jc w:val="both"/>
        <w:rPr>
          <w:b w:val="0"/>
        </w:rPr>
      </w:pPr>
      <w:r>
        <w:rPr>
          <w:b w:val="0"/>
        </w:rPr>
        <w:t xml:space="preserve">On December 4, 2017, the </w:t>
      </w:r>
      <w:r w:rsidR="00B06CB2">
        <w:rPr>
          <w:b w:val="0"/>
        </w:rPr>
        <w:t>Commission referred this proceeding to the State Office of Administrative Hearings</w:t>
      </w:r>
      <w:r w:rsidR="003513F7">
        <w:rPr>
          <w:b w:val="0"/>
        </w:rPr>
        <w:t xml:space="preserve"> (SOAH)</w:t>
      </w:r>
      <w:r w:rsidR="00B06CB2">
        <w:rPr>
          <w:b w:val="0"/>
        </w:rPr>
        <w:t>.</w:t>
      </w:r>
      <w:r w:rsidR="00782F4A">
        <w:rPr>
          <w:rStyle w:val="FootnoteReference"/>
          <w:b w:val="0"/>
        </w:rPr>
        <w:footnoteReference w:id="9"/>
      </w:r>
      <w:r w:rsidR="00B06CB2">
        <w:rPr>
          <w:b w:val="0"/>
        </w:rPr>
        <w:t xml:space="preserve">  On December 5, 2017, Commission Staff filed a </w:t>
      </w:r>
      <w:r w:rsidR="00FC2768">
        <w:rPr>
          <w:b w:val="0"/>
        </w:rPr>
        <w:t>motion to a</w:t>
      </w:r>
      <w:r w:rsidR="0024761F">
        <w:rPr>
          <w:b w:val="0"/>
        </w:rPr>
        <w:t>bate</w:t>
      </w:r>
      <w:r w:rsidR="00FC2768">
        <w:rPr>
          <w:b w:val="0"/>
        </w:rPr>
        <w:t xml:space="preserve"> this proceeding</w:t>
      </w:r>
      <w:r w:rsidR="00B06CB2">
        <w:rPr>
          <w:b w:val="0"/>
        </w:rPr>
        <w:t xml:space="preserve"> </w:t>
      </w:r>
      <w:r w:rsidR="007C6494">
        <w:rPr>
          <w:b w:val="0"/>
        </w:rPr>
        <w:t xml:space="preserve">in order </w:t>
      </w:r>
      <w:r w:rsidR="00B06CB2">
        <w:rPr>
          <w:b w:val="0"/>
        </w:rPr>
        <w:t>to facilitate continued settlement discussions.</w:t>
      </w:r>
      <w:r w:rsidR="00782F4A">
        <w:rPr>
          <w:rStyle w:val="FootnoteReference"/>
          <w:b w:val="0"/>
        </w:rPr>
        <w:footnoteReference w:id="10"/>
      </w:r>
      <w:r w:rsidR="00DB22DF">
        <w:rPr>
          <w:b w:val="0"/>
        </w:rPr>
        <w:t xml:space="preserve">  </w:t>
      </w:r>
      <w:r w:rsidR="001C6B9C">
        <w:rPr>
          <w:b w:val="0"/>
        </w:rPr>
        <w:t xml:space="preserve">On </w:t>
      </w:r>
      <w:r w:rsidR="00CA11DD">
        <w:rPr>
          <w:b w:val="0"/>
        </w:rPr>
        <w:t>December</w:t>
      </w:r>
      <w:r w:rsidR="00E83C50">
        <w:rPr>
          <w:b w:val="0"/>
        </w:rPr>
        <w:t xml:space="preserve"> </w:t>
      </w:r>
      <w:r w:rsidR="00CA11DD">
        <w:rPr>
          <w:b w:val="0"/>
        </w:rPr>
        <w:t xml:space="preserve">7, 2017, </w:t>
      </w:r>
      <w:r w:rsidR="00FC2768">
        <w:rPr>
          <w:b w:val="0"/>
        </w:rPr>
        <w:t xml:space="preserve">the SOAH ALJ </w:t>
      </w:r>
      <w:r w:rsidR="0024761F">
        <w:rPr>
          <w:b w:val="0"/>
        </w:rPr>
        <w:t>granted the motion</w:t>
      </w:r>
      <w:r w:rsidR="00685F63">
        <w:rPr>
          <w:b w:val="0"/>
        </w:rPr>
        <w:t xml:space="preserve"> to abate</w:t>
      </w:r>
      <w:r w:rsidR="004668CD">
        <w:rPr>
          <w:b w:val="0"/>
        </w:rPr>
        <w:t xml:space="preserve"> proceedings until January 19, </w:t>
      </w:r>
      <w:r w:rsidR="0024761F">
        <w:rPr>
          <w:b w:val="0"/>
        </w:rPr>
        <w:t>2018.</w:t>
      </w:r>
      <w:r w:rsidR="00782F4A">
        <w:rPr>
          <w:rStyle w:val="FootnoteReference"/>
          <w:b w:val="0"/>
        </w:rPr>
        <w:footnoteReference w:id="11"/>
      </w:r>
      <w:bookmarkStart w:id="0" w:name="_GoBack"/>
      <w:bookmarkEnd w:id="0"/>
    </w:p>
    <w:p w:rsidR="006F2036" w:rsidRPr="003C35B5" w:rsidRDefault="006F2036" w:rsidP="006F2036">
      <w:pPr>
        <w:pStyle w:val="Heading1"/>
        <w:keepLines w:val="0"/>
        <w:tabs>
          <w:tab w:val="clear" w:pos="360"/>
        </w:tabs>
        <w:spacing w:before="480"/>
        <w:contextualSpacing/>
      </w:pPr>
      <w:r w:rsidRPr="003C35B5">
        <w:t>Issues to be Addressed</w:t>
      </w:r>
    </w:p>
    <w:p w:rsidR="006F2036" w:rsidRDefault="006F2036" w:rsidP="006F2036">
      <w:pPr>
        <w:pStyle w:val="BodyText"/>
      </w:pPr>
      <w:r w:rsidRPr="003C35B5">
        <w:t>The Commission must provide t</w:t>
      </w:r>
      <w:r w:rsidR="00BE154B">
        <w:t>o the ALJ</w:t>
      </w:r>
      <w:r w:rsidRPr="003C35B5">
        <w:t xml:space="preserve"> a list of issues or areas to be addressed in any proceeding referred to the S</w:t>
      </w:r>
      <w:r w:rsidR="006C6740">
        <w:t>OAH.</w:t>
      </w:r>
      <w:r w:rsidRPr="003C35B5">
        <w:rPr>
          <w:rStyle w:val="FootnoteReference"/>
        </w:rPr>
        <w:footnoteReference w:id="12"/>
      </w:r>
      <w:r w:rsidRPr="003C35B5">
        <w:t xml:space="preserve">  After reviewing the pleadings submitted by the parties, the Commission identifies the following issues that must be addressed in this docket: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t xml:space="preserve"> </w:t>
      </w:r>
      <w:r w:rsidR="00525BB9">
        <w:t>TWC </w:t>
      </w:r>
      <w:r w:rsidR="005834FA" w:rsidRPr="00F90462">
        <w:t>§ 13.183(a</w:t>
      </w:r>
      <w:proofErr w:type="gramStart"/>
      <w:r w:rsidR="005834FA" w:rsidRPr="00F90462">
        <w:t>)</w:t>
      </w:r>
      <w:r w:rsidR="005834FA">
        <w:t>(</w:t>
      </w:r>
      <w:proofErr w:type="gramEnd"/>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005834FA" w:rsidRPr="005834FA">
        <w:t xml:space="preserve"> </w:t>
      </w:r>
      <w:r w:rsidR="00525BB9">
        <w:t>TWC § 13.185(d</w:t>
      </w:r>
      <w:proofErr w:type="gramStart"/>
      <w:r w:rsidR="00525BB9">
        <w:t>)(</w:t>
      </w:r>
      <w:proofErr w:type="gramEnd"/>
      <w:r w:rsidR="00525BB9">
        <w:t>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debt-to-equity capital structure of the utility?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w:t>
      </w:r>
      <w:proofErr w:type="gramStart"/>
      <w:r w:rsidR="00923818">
        <w:rPr>
          <w:rFonts w:eastAsia="Times New Roman"/>
          <w:szCs w:val="20"/>
        </w:rPr>
        <w:t>)(</w:t>
      </w:r>
      <w:proofErr w:type="gramEnd"/>
      <w:r w:rsidR="00923818">
        <w:rPr>
          <w:rFonts w:eastAsia="Times New Roman"/>
          <w:szCs w:val="20"/>
        </w:rPr>
        <w:t>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005834FA" w:rsidRPr="005834FA">
        <w:t xml:space="preserve"> </w:t>
      </w:r>
      <w:r w:rsidR="00525BB9">
        <w:t>16 TAC § </w:t>
      </w:r>
      <w:r w:rsidR="005834FA">
        <w:t>24.31(c</w:t>
      </w:r>
      <w:proofErr w:type="gramStart"/>
      <w:r w:rsidR="005834FA">
        <w:t>)(</w:t>
      </w:r>
      <w:proofErr w:type="gramEnd"/>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24.31(c</w:t>
      </w:r>
      <w:proofErr w:type="gramStart"/>
      <w:r w:rsidR="00923818">
        <w:rPr>
          <w:rFonts w:eastAsia="Times New Roman"/>
          <w:szCs w:val="20"/>
        </w:rPr>
        <w:t>)(</w:t>
      </w:r>
      <w:proofErr w:type="gramEnd"/>
      <w:r w:rsidR="00923818">
        <w:rPr>
          <w:rFonts w:eastAsia="Times New Roman"/>
          <w:szCs w:val="20"/>
        </w:rPr>
        <w:t xml:space="preserve">2)(A)-(B).  </w:t>
      </w:r>
      <w:r w:rsidRPr="00193735">
        <w:rPr>
          <w:rFonts w:eastAsia="Times New Roman"/>
          <w:vertAlign w:val="superscript"/>
        </w:rPr>
        <w:t xml:space="preserve"> </w:t>
      </w:r>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the utility seeking inclusion of construction work in progress?  If so, what is the amount sought and for what facilities?  Additionally, has the utility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24.31(c</w:t>
      </w:r>
      <w:proofErr w:type="gramStart"/>
      <w:r w:rsidR="005834FA">
        <w:rPr>
          <w:rFonts w:eastAsia="Times New Roman"/>
          <w:szCs w:val="20"/>
        </w:rPr>
        <w:t>)(</w:t>
      </w:r>
      <w:proofErr w:type="gramEnd"/>
      <w:r w:rsidR="005834FA">
        <w:rPr>
          <w:rFonts w:eastAsia="Times New Roman"/>
          <w:szCs w:val="20"/>
        </w:rPr>
        <w:t xml:space="preserve">4).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24.31(c</w:t>
      </w:r>
      <w:proofErr w:type="gramStart"/>
      <w:r w:rsidR="00B62D67">
        <w:rPr>
          <w:rFonts w:eastAsia="Times New Roman"/>
          <w:szCs w:val="20"/>
        </w:rPr>
        <w:t>)(</w:t>
      </w:r>
      <w:proofErr w:type="gramEnd"/>
      <w:r w:rsidR="00B62D67">
        <w:rPr>
          <w:rFonts w:eastAsia="Times New Roman"/>
          <w:szCs w:val="20"/>
        </w:rPr>
        <w:t xml:space="preserve">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water</w:t>
      </w:r>
      <w:r w:rsidR="00E539F9">
        <w:rPr>
          <w:rFonts w:eastAsia="Times New Roman"/>
          <w:szCs w:val="20"/>
        </w:rPr>
        <w:t>-</w:t>
      </w:r>
      <w:r w:rsidRPr="00193735">
        <w:rPr>
          <w:rFonts w:eastAsia="Times New Roman"/>
          <w:szCs w:val="20"/>
        </w:rPr>
        <w:t xml:space="preserve"> or sewer</w:t>
      </w:r>
      <w:r w:rsidR="00995376">
        <w:rPr>
          <w:rFonts w:eastAsia="Times New Roman"/>
          <w:szCs w:val="20"/>
        </w:rPr>
        <w:t>-utility</w:t>
      </w:r>
      <w:r w:rsidRPr="00193735">
        <w:rPr>
          <w:rFonts w:eastAsia="Times New Roman"/>
          <w:szCs w:val="20"/>
        </w:rPr>
        <w:t xml:space="preserve">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525BB9">
        <w:rPr>
          <w:rFonts w:eastAsia="Times New Roman"/>
          <w:szCs w:val="20"/>
        </w:rPr>
        <w:t xml:space="preserve"> TWC </w:t>
      </w:r>
      <w:r w:rsidR="00B62D67">
        <w:rPr>
          <w:rFonts w:eastAsia="Times New Roman"/>
          <w:szCs w:val="20"/>
        </w:rPr>
        <w:t>§</w:t>
      </w:r>
      <w:r w:rsidR="00525BB9">
        <w:rPr>
          <w:rFonts w:eastAsia="Times New Roman"/>
          <w:szCs w:val="20"/>
        </w:rPr>
        <w:t> </w:t>
      </w:r>
      <w:r w:rsidR="00E93A17">
        <w:rPr>
          <w:rFonts w:eastAsia="Times New Roman"/>
          <w:szCs w:val="20"/>
        </w:rPr>
        <w:t>13.185(</w:t>
      </w:r>
      <w:proofErr w:type="spellStart"/>
      <w:r w:rsidR="00E93A17">
        <w:rPr>
          <w:rFonts w:eastAsia="Times New Roman"/>
          <w:szCs w:val="20"/>
        </w:rPr>
        <w:t>i</w:t>
      </w:r>
      <w:proofErr w:type="spellEnd"/>
      <w:r w:rsidR="00E93A17">
        <w:rPr>
          <w:rFonts w:eastAsia="Times New Roman"/>
          <w:szCs w:val="20"/>
        </w:rPr>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acquired any water property from an affiliate?  If so, do the payments</w:t>
      </w:r>
      <w:r w:rsidR="00995376">
        <w:rPr>
          <w:rFonts w:eastAsia="Times New Roman"/>
          <w:szCs w:val="20"/>
        </w:rPr>
        <w:t>, including any interest,</w:t>
      </w:r>
      <w:r w:rsidRPr="00193735">
        <w:rPr>
          <w:rFonts w:eastAsia="Times New Roman"/>
          <w:szCs w:val="20"/>
        </w:rPr>
        <w:t xml:space="preserve">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w:t>
      </w:r>
      <w:proofErr w:type="gramStart"/>
      <w:r w:rsidR="00B62D67">
        <w:rPr>
          <w:rFonts w:eastAsia="Times New Roman"/>
          <w:szCs w:val="20"/>
        </w:rPr>
        <w:t>)(</w:t>
      </w:r>
      <w:proofErr w:type="gramEnd"/>
      <w:r w:rsidR="00B62D67">
        <w:rPr>
          <w:rFonts w:eastAsia="Times New Roman"/>
          <w:szCs w:val="20"/>
        </w:rPr>
        <w:t>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w:t>
      </w:r>
      <w:proofErr w:type="gramStart"/>
      <w:r w:rsidR="00525BB9">
        <w:rPr>
          <w:rFonts w:eastAsia="Times New Roman"/>
          <w:szCs w:val="20"/>
        </w:rPr>
        <w:t>)(</w:t>
      </w:r>
      <w:proofErr w:type="gramEnd"/>
      <w:r w:rsidR="00525BB9">
        <w:rPr>
          <w:rFonts w:eastAsia="Times New Roman"/>
          <w:szCs w:val="20"/>
        </w:rPr>
        <w:t>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w:t>
      </w:r>
      <w:proofErr w:type="gramStart"/>
      <w:r w:rsidR="00525BB9">
        <w:rPr>
          <w:rFonts w:eastAsia="Times New Roman"/>
          <w:szCs w:val="20"/>
        </w:rPr>
        <w:t>)(</w:t>
      </w:r>
      <w:proofErr w:type="gramEnd"/>
      <w:r w:rsidR="00525BB9">
        <w:rPr>
          <w:rFonts w:eastAsia="Times New Roman"/>
          <w:szCs w:val="20"/>
        </w:rPr>
        <w:t>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w:t>
      </w:r>
      <w:proofErr w:type="gramStart"/>
      <w:r w:rsidR="00923818">
        <w:rPr>
          <w:rFonts w:eastAsia="Times New Roman"/>
          <w:szCs w:val="20"/>
        </w:rPr>
        <w:t>)(</w:t>
      </w:r>
      <w:proofErr w:type="gramEnd"/>
      <w:r w:rsidR="00923818">
        <w:rPr>
          <w:rFonts w:eastAsia="Times New Roman"/>
          <w:szCs w:val="20"/>
        </w:rPr>
        <w:t>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federal income tax expense?</w:t>
      </w:r>
      <w:r w:rsidR="00525BB9">
        <w:rPr>
          <w:rFonts w:eastAsia="Times New Roman"/>
          <w:szCs w:val="20"/>
        </w:rPr>
        <w:t xml:space="preserve"> 16 TAC § 24.31(b</w:t>
      </w:r>
      <w:proofErr w:type="gramStart"/>
      <w:r w:rsidR="00525BB9">
        <w:rPr>
          <w:rFonts w:eastAsia="Times New Roman"/>
          <w:szCs w:val="20"/>
        </w:rPr>
        <w:t>)(</w:t>
      </w:r>
      <w:proofErr w:type="gramEnd"/>
      <w:r w:rsidR="00525BB9">
        <w:rPr>
          <w:rFonts w:eastAsia="Times New Roman"/>
          <w:szCs w:val="20"/>
        </w:rPr>
        <w:t>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the utility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of the </w:t>
      </w:r>
      <w:proofErr w:type="gramStart"/>
      <w:r w:rsidRPr="00193735">
        <w:rPr>
          <w:rFonts w:eastAsia="Times New Roman"/>
          <w:szCs w:val="20"/>
        </w:rPr>
        <w:t>utility’s</w:t>
      </w:r>
      <w:proofErr w:type="gramEnd"/>
      <w:r w:rsidRPr="00193735">
        <w:rPr>
          <w:rFonts w:eastAsia="Times New Roman"/>
          <w:szCs w:val="20"/>
        </w:rPr>
        <w:t xml:space="preserve">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regulatory assets</w:t>
      </w:r>
      <w:r w:rsidR="00995376">
        <w:rPr>
          <w:rFonts w:eastAsia="Times New Roman"/>
          <w:szCs w:val="20"/>
        </w:rPr>
        <w:t>, if any,</w:t>
      </w:r>
      <w:r w:rsidRPr="00193735">
        <w:rPr>
          <w:rFonts w:eastAsia="Times New Roman"/>
          <w:szCs w:val="20"/>
        </w:rPr>
        <w:t xml:space="preserve"> are appropriately included in the utility’s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Should the utility 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w:t>
      </w:r>
      <w:r w:rsidR="000C0EC8">
        <w:rPr>
          <w:rFonts w:eastAsia="Times New Roman"/>
          <w:szCs w:val="20"/>
        </w:rPr>
        <w:t>Does that amount include any prospective rate-case expenses to be incurred after the Commission’s final order</w:t>
      </w:r>
      <w:r>
        <w:rPr>
          <w:rFonts w:eastAsia="Times New Roman"/>
          <w:szCs w:val="20"/>
        </w:rPr>
        <w:t>?  Should the utility be able to recover its reasonable and necessary rate-case expenses from ratepayers?  If so, how should such expenses, if any, be recovered by the utility?</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w:t>
      </w:r>
      <w:r w:rsidR="00926E28">
        <w:rPr>
          <w:rFonts w:eastAsia="Times New Roman"/>
          <w:szCs w:val="20"/>
        </w:rPr>
        <w:t xml:space="preserve"> </w:t>
      </w:r>
      <w:r w:rsidR="00525BB9">
        <w:rPr>
          <w:rFonts w:eastAsia="Times New Roman"/>
          <w:szCs w:val="20"/>
        </w:rPr>
        <w:t>TWC § </w:t>
      </w:r>
      <w:r w:rsidR="00923818">
        <w:rPr>
          <w:rFonts w:eastAsia="Times New Roman"/>
          <w:szCs w:val="20"/>
        </w:rPr>
        <w:t>13.1871.</w:t>
      </w:r>
    </w:p>
    <w:p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00525BB9">
        <w:t xml:space="preserve"> </w:t>
      </w:r>
      <w:r w:rsidRPr="003C35B5">
        <w:t>§</w:t>
      </w:r>
      <w:r>
        <w:t> </w:t>
      </w:r>
      <w:r w:rsidRPr="003C35B5">
        <w:t>2003.049(e).</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DC4AE4">
        <w:t>January</w:t>
      </w:r>
      <w:r w:rsidR="00C41191">
        <w:t xml:space="preserve"> </w:t>
      </w:r>
      <w:r>
        <w:t>201</w:t>
      </w:r>
      <w:r w:rsidR="00DC4AE4">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285050" w:rsidRDefault="00285050" w:rsidP="00285050">
      <w:pPr>
        <w:pStyle w:val="Signatures"/>
      </w:pPr>
      <w:r>
        <w:t>DEANN T. WALKER,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A03147"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A03147" w:rsidP="00160DCD">
      <w:pPr>
        <w:pStyle w:val="Signatures"/>
      </w:pPr>
      <w:r>
        <w:t>ARTHUR C. D’ANDREA</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B00990" w:rsidP="0062202F">
      <w:pPr>
        <w:pStyle w:val="EndMatter"/>
      </w:pPr>
      <w:r>
        <w:fldChar w:fldCharType="begin"/>
      </w:r>
      <w:r>
        <w:instrText xml:space="preserve"> FILENAME  \* Lower \p  \* MERGEFORMAT </w:instrText>
      </w:r>
      <w:r>
        <w:fldChar w:fldCharType="separate"/>
      </w:r>
      <w:r w:rsidR="00186E49">
        <w:rPr>
          <w:noProof/>
        </w:rPr>
        <w:t>q:\cadm\orders\prelim\47</w:t>
      </w:r>
      <w:r w:rsidR="00C41191">
        <w:rPr>
          <w:noProof/>
        </w:rPr>
        <w:t>00</w:t>
      </w:r>
      <w:r w:rsidR="00B57415">
        <w:rPr>
          <w:noProof/>
        </w:rPr>
        <w:t>0\47161</w:t>
      </w:r>
      <w:r w:rsidR="00C41191">
        <w:rPr>
          <w:noProof/>
        </w:rPr>
        <w:t xml:space="preserve">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F51EA8" w:rsidRDefault="00F51EA8" w:rsidP="00F51EA8">
      <w:pPr>
        <w:pStyle w:val="FootnoteText"/>
        <w:contextualSpacing/>
      </w:pPr>
      <w:r>
        <w:rPr>
          <w:rStyle w:val="FootnoteReference"/>
        </w:rPr>
        <w:footnoteRef/>
      </w:r>
      <w:r>
        <w:t xml:space="preserve">  Kerr County Water System</w:t>
      </w:r>
      <w:r w:rsidR="00FF2FC2">
        <w:t>’</w:t>
      </w:r>
      <w:r>
        <w:t>s Application at 8, Schedule I-3</w:t>
      </w:r>
      <w:r w:rsidR="00FF2FC2">
        <w:t xml:space="preserve"> (July 3, 2017) (Application).</w:t>
      </w:r>
    </w:p>
  </w:footnote>
  <w:footnote w:id="2">
    <w:p w:rsidR="001D6B94" w:rsidRDefault="001D6B94">
      <w:pPr>
        <w:pStyle w:val="FootnoteText"/>
      </w:pPr>
      <w:r>
        <w:rPr>
          <w:rStyle w:val="FootnoteReference"/>
        </w:rPr>
        <w:footnoteRef/>
      </w:r>
      <w:r>
        <w:t xml:space="preserve">  Application at 1.</w:t>
      </w:r>
    </w:p>
  </w:footnote>
  <w:footnote w:id="3">
    <w:p w:rsidR="00BF007F" w:rsidRDefault="00BF007F">
      <w:pPr>
        <w:pStyle w:val="FootnoteText"/>
      </w:pPr>
      <w:r>
        <w:rPr>
          <w:rStyle w:val="FootnoteReference"/>
        </w:rPr>
        <w:footnoteRef/>
      </w:r>
      <w:r>
        <w:t xml:space="preserve">  </w:t>
      </w:r>
      <w:r w:rsidR="009470A3">
        <w:rPr>
          <w:i/>
        </w:rPr>
        <w:t>Id.</w:t>
      </w:r>
      <w:r>
        <w:t xml:space="preserve"> at 52.</w:t>
      </w:r>
    </w:p>
  </w:footnote>
  <w:footnote w:id="4">
    <w:p w:rsidR="00A72A1C" w:rsidRPr="00A72A1C" w:rsidRDefault="00A72A1C">
      <w:pPr>
        <w:pStyle w:val="FootnoteText"/>
        <w:rPr>
          <w:i/>
        </w:rPr>
      </w:pPr>
      <w:r>
        <w:rPr>
          <w:rStyle w:val="FootnoteReference"/>
        </w:rPr>
        <w:footnoteRef/>
      </w:r>
      <w:r>
        <w:t xml:space="preserve">  </w:t>
      </w:r>
      <w:r>
        <w:rPr>
          <w:i/>
        </w:rPr>
        <w:t>Id.</w:t>
      </w:r>
    </w:p>
  </w:footnote>
  <w:footnote w:id="5">
    <w:p w:rsidR="00A72A1C" w:rsidRPr="00A72A1C" w:rsidRDefault="00A72A1C">
      <w:pPr>
        <w:pStyle w:val="FootnoteText"/>
        <w:rPr>
          <w:i/>
        </w:rPr>
      </w:pPr>
      <w:r>
        <w:rPr>
          <w:rStyle w:val="FootnoteReference"/>
        </w:rPr>
        <w:footnoteRef/>
      </w:r>
      <w:r>
        <w:t xml:space="preserve">  </w:t>
      </w:r>
      <w:r>
        <w:rPr>
          <w:i/>
        </w:rPr>
        <w:t>Id.</w:t>
      </w:r>
    </w:p>
  </w:footnote>
  <w:footnote w:id="6">
    <w:p w:rsidR="00992ABC" w:rsidRPr="00992ABC" w:rsidRDefault="00992ABC">
      <w:pPr>
        <w:pStyle w:val="FootnoteText"/>
      </w:pPr>
      <w:r>
        <w:rPr>
          <w:rStyle w:val="FootnoteReference"/>
        </w:rPr>
        <w:footnoteRef/>
      </w:r>
      <w:r>
        <w:t xml:space="preserve">  </w:t>
      </w:r>
      <w:r>
        <w:rPr>
          <w:i/>
        </w:rPr>
        <w:t xml:space="preserve">Id. </w:t>
      </w:r>
      <w:r>
        <w:t>at 54.</w:t>
      </w:r>
    </w:p>
  </w:footnote>
  <w:footnote w:id="7">
    <w:p w:rsidR="00BE15D1" w:rsidRDefault="00BE15D1">
      <w:pPr>
        <w:pStyle w:val="FootnoteText"/>
      </w:pPr>
      <w:r>
        <w:rPr>
          <w:rStyle w:val="FootnoteReference"/>
        </w:rPr>
        <w:footnoteRef/>
      </w:r>
      <w:r>
        <w:t xml:space="preserve">  </w:t>
      </w:r>
      <w:r w:rsidR="004B5517">
        <w:rPr>
          <w:i/>
        </w:rPr>
        <w:t>Id.</w:t>
      </w:r>
      <w:r>
        <w:t xml:space="preserve"> at 52; Under TWC § 13.1871(b), notice must be provided at least 35 days before the proposed effective date.</w:t>
      </w:r>
    </w:p>
  </w:footnote>
  <w:footnote w:id="8">
    <w:p w:rsidR="00303733" w:rsidRDefault="00303733">
      <w:pPr>
        <w:pStyle w:val="FootnoteText"/>
      </w:pPr>
      <w:r>
        <w:rPr>
          <w:rStyle w:val="FootnoteReference"/>
        </w:rPr>
        <w:footnoteRef/>
      </w:r>
      <w:r>
        <w:t xml:space="preserve">  Order No. 3 (</w:t>
      </w:r>
      <w:r w:rsidR="001C6B9C">
        <w:t>Sep</w:t>
      </w:r>
      <w:r w:rsidR="00CA11DD">
        <w:t>. 25, 2017).</w:t>
      </w:r>
    </w:p>
  </w:footnote>
  <w:footnote w:id="9">
    <w:p w:rsidR="00782F4A" w:rsidRDefault="00782F4A">
      <w:pPr>
        <w:pStyle w:val="FootnoteText"/>
      </w:pPr>
      <w:r>
        <w:rPr>
          <w:rStyle w:val="FootnoteReference"/>
        </w:rPr>
        <w:footnoteRef/>
      </w:r>
      <w:r w:rsidR="001C6B9C">
        <w:t xml:space="preserve">  Order of Referral (Dec.</w:t>
      </w:r>
      <w:r>
        <w:t xml:space="preserve"> 4, 2017).</w:t>
      </w:r>
    </w:p>
  </w:footnote>
  <w:footnote w:id="10">
    <w:p w:rsidR="00782F4A" w:rsidRDefault="00782F4A">
      <w:pPr>
        <w:pStyle w:val="FootnoteText"/>
      </w:pPr>
      <w:r>
        <w:rPr>
          <w:rStyle w:val="FootnoteReference"/>
        </w:rPr>
        <w:footnoteRef/>
      </w:r>
      <w:r w:rsidR="001C6B9C">
        <w:t xml:space="preserve">  Request to Abate (Dec.</w:t>
      </w:r>
      <w:r>
        <w:t xml:space="preserve"> 5, 2017). </w:t>
      </w:r>
    </w:p>
  </w:footnote>
  <w:footnote w:id="11">
    <w:p w:rsidR="00782F4A" w:rsidRDefault="00782F4A">
      <w:pPr>
        <w:pStyle w:val="FootnoteText"/>
      </w:pPr>
      <w:r>
        <w:rPr>
          <w:rStyle w:val="FootnoteReference"/>
        </w:rPr>
        <w:footnoteRef/>
      </w:r>
      <w:r w:rsidR="001C6B9C">
        <w:t xml:space="preserve">  SOAH Order No. 1 (Dec.</w:t>
      </w:r>
      <w:r>
        <w:t xml:space="preserve"> 7, 2017).</w:t>
      </w:r>
    </w:p>
  </w:footnote>
  <w:footnote w:id="12">
    <w:p w:rsidR="006F2036" w:rsidRPr="002133F3" w:rsidRDefault="00FB0C62" w:rsidP="00FB0C62">
      <w:pPr>
        <w:pStyle w:val="FootnoteText"/>
        <w:ind w:left="720" w:firstLine="0"/>
        <w:contextualSpacing/>
        <w:rPr>
          <w:lang w:val="pt-BR"/>
        </w:rPr>
      </w:pPr>
      <w:r>
        <w:rPr>
          <w:rStyle w:val="FootnoteReference"/>
        </w:rPr>
        <w:footnoteRef/>
      </w:r>
      <w:r>
        <w:rPr>
          <w:lang w:val="pt-BR"/>
        </w:rPr>
        <w:t xml:space="preserve">  </w:t>
      </w:r>
      <w:r w:rsidR="006F2036" w:rsidRPr="001F10CC">
        <w:rPr>
          <w:lang w:val="pt-BR"/>
        </w:rPr>
        <w:t>Tex. Gov’t Code Ann</w:t>
      </w:r>
      <w:r w:rsidR="006F2036" w:rsidRPr="002133F3">
        <w:rPr>
          <w:smallCaps/>
          <w:lang w:val="pt-BR"/>
        </w:rPr>
        <w:t>.</w:t>
      </w:r>
      <w:r w:rsidR="00441F4C">
        <w:rPr>
          <w:lang w:val="pt-BR"/>
        </w:rPr>
        <w:t xml:space="preserve"> § 2003.049(e) (West </w:t>
      </w:r>
      <w:r w:rsidR="00176E93">
        <w:rPr>
          <w:lang w:val="pt-BR"/>
        </w:rPr>
        <w:t>2016</w:t>
      </w:r>
      <w:r w:rsidR="00441F4C">
        <w:rPr>
          <w:lang w:val="pt-BR"/>
        </w:rPr>
        <w:t>)</w:t>
      </w:r>
      <w:r w:rsidR="006F2036"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0013AB">
      <w:t>47161</w:t>
    </w:r>
    <w:r>
      <w:tab/>
    </w:r>
    <w:r w:rsidR="00B12AC5">
      <w:t xml:space="preserve">Draft Preliminary </w:t>
    </w:r>
    <w:r>
      <w:t>Order</w:t>
    </w:r>
    <w:r>
      <w:tab/>
      <w:t xml:space="preserve">Page </w:t>
    </w:r>
    <w:r>
      <w:fldChar w:fldCharType="begin"/>
    </w:r>
    <w:r>
      <w:instrText xml:space="preserve"> PAGE   \* MERGEFORMAT </w:instrText>
    </w:r>
    <w:r>
      <w:fldChar w:fldCharType="separate"/>
    </w:r>
    <w:r w:rsidR="00B00990">
      <w:rPr>
        <w:noProof/>
      </w:rPr>
      <w:t>2</w:t>
    </w:r>
    <w:r>
      <w:fldChar w:fldCharType="end"/>
    </w:r>
    <w:r>
      <w:t xml:space="preserve"> of </w:t>
    </w:r>
    <w:fldSimple w:instr=" NUMPAGES   \* MERGEFORMAT ">
      <w:r w:rsidR="00B00990">
        <w:rPr>
          <w:noProof/>
        </w:rPr>
        <w:t>7</w:t>
      </w:r>
    </w:fldSimple>
  </w:p>
  <w:p w:rsidR="00ED04FC" w:rsidRDefault="000013AB">
    <w:pPr>
      <w:pStyle w:val="Header"/>
    </w:pPr>
    <w:r>
      <w:t>SOAH Docket No. 473-18</w:t>
    </w:r>
    <w:r w:rsidR="00ED04FC">
      <w:t>-</w:t>
    </w:r>
    <w:r>
      <w:t>1228</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013AB"/>
    <w:rsid w:val="00003FE1"/>
    <w:rsid w:val="000C0EC8"/>
    <w:rsid w:val="000E5DBE"/>
    <w:rsid w:val="001112BB"/>
    <w:rsid w:val="001169CA"/>
    <w:rsid w:val="0012416B"/>
    <w:rsid w:val="00126D23"/>
    <w:rsid w:val="001314AE"/>
    <w:rsid w:val="00154350"/>
    <w:rsid w:val="00160DCD"/>
    <w:rsid w:val="00176E93"/>
    <w:rsid w:val="00181CEA"/>
    <w:rsid w:val="00182718"/>
    <w:rsid w:val="00186E49"/>
    <w:rsid w:val="00191E8B"/>
    <w:rsid w:val="001C678B"/>
    <w:rsid w:val="001C6B9C"/>
    <w:rsid w:val="001D6B94"/>
    <w:rsid w:val="001E360C"/>
    <w:rsid w:val="001F10CC"/>
    <w:rsid w:val="00243B8B"/>
    <w:rsid w:val="0024761F"/>
    <w:rsid w:val="00266F9F"/>
    <w:rsid w:val="00285050"/>
    <w:rsid w:val="00287E6B"/>
    <w:rsid w:val="00291ED0"/>
    <w:rsid w:val="002D0C94"/>
    <w:rsid w:val="002E3D7E"/>
    <w:rsid w:val="00303733"/>
    <w:rsid w:val="00312838"/>
    <w:rsid w:val="003513F7"/>
    <w:rsid w:val="00376F2E"/>
    <w:rsid w:val="003E747B"/>
    <w:rsid w:val="00425C73"/>
    <w:rsid w:val="00433B5E"/>
    <w:rsid w:val="0044160D"/>
    <w:rsid w:val="00441F4C"/>
    <w:rsid w:val="00444CD3"/>
    <w:rsid w:val="00460626"/>
    <w:rsid w:val="00461C61"/>
    <w:rsid w:val="0046644C"/>
    <w:rsid w:val="004668CD"/>
    <w:rsid w:val="004B5517"/>
    <w:rsid w:val="004C4D6C"/>
    <w:rsid w:val="004E082A"/>
    <w:rsid w:val="00503A8A"/>
    <w:rsid w:val="00516EDA"/>
    <w:rsid w:val="00525BB9"/>
    <w:rsid w:val="0054369A"/>
    <w:rsid w:val="00546DB5"/>
    <w:rsid w:val="00556A66"/>
    <w:rsid w:val="00566302"/>
    <w:rsid w:val="005834FA"/>
    <w:rsid w:val="005A002C"/>
    <w:rsid w:val="005B0A1E"/>
    <w:rsid w:val="005B1D9F"/>
    <w:rsid w:val="005C3512"/>
    <w:rsid w:val="00603D74"/>
    <w:rsid w:val="00604A1C"/>
    <w:rsid w:val="00614EC7"/>
    <w:rsid w:val="00617CF1"/>
    <w:rsid w:val="0062202F"/>
    <w:rsid w:val="00623BCA"/>
    <w:rsid w:val="00624726"/>
    <w:rsid w:val="00636666"/>
    <w:rsid w:val="00664F8C"/>
    <w:rsid w:val="0066645F"/>
    <w:rsid w:val="0067692D"/>
    <w:rsid w:val="00677B5E"/>
    <w:rsid w:val="00685F63"/>
    <w:rsid w:val="006874E6"/>
    <w:rsid w:val="0069012A"/>
    <w:rsid w:val="006A3E8C"/>
    <w:rsid w:val="006A76FD"/>
    <w:rsid w:val="006C6740"/>
    <w:rsid w:val="006D34E9"/>
    <w:rsid w:val="006F2036"/>
    <w:rsid w:val="0070217A"/>
    <w:rsid w:val="007353EC"/>
    <w:rsid w:val="007572FC"/>
    <w:rsid w:val="007758CA"/>
    <w:rsid w:val="00782F4A"/>
    <w:rsid w:val="007A00E0"/>
    <w:rsid w:val="007C6494"/>
    <w:rsid w:val="007D618F"/>
    <w:rsid w:val="007F6B25"/>
    <w:rsid w:val="0080046C"/>
    <w:rsid w:val="008132C5"/>
    <w:rsid w:val="008738BF"/>
    <w:rsid w:val="008B7933"/>
    <w:rsid w:val="008D1724"/>
    <w:rsid w:val="008D6584"/>
    <w:rsid w:val="008E20C1"/>
    <w:rsid w:val="008E79D0"/>
    <w:rsid w:val="00903B82"/>
    <w:rsid w:val="00923818"/>
    <w:rsid w:val="00926E28"/>
    <w:rsid w:val="00927A00"/>
    <w:rsid w:val="00933694"/>
    <w:rsid w:val="009470A3"/>
    <w:rsid w:val="009727E0"/>
    <w:rsid w:val="00975735"/>
    <w:rsid w:val="00992ABC"/>
    <w:rsid w:val="00995376"/>
    <w:rsid w:val="009B18F5"/>
    <w:rsid w:val="009B4B3A"/>
    <w:rsid w:val="009C1919"/>
    <w:rsid w:val="009C566B"/>
    <w:rsid w:val="00A03147"/>
    <w:rsid w:val="00A035EA"/>
    <w:rsid w:val="00A13C9E"/>
    <w:rsid w:val="00A25494"/>
    <w:rsid w:val="00A40798"/>
    <w:rsid w:val="00A6597E"/>
    <w:rsid w:val="00A72A1C"/>
    <w:rsid w:val="00B00990"/>
    <w:rsid w:val="00B0263A"/>
    <w:rsid w:val="00B06CB2"/>
    <w:rsid w:val="00B06D8B"/>
    <w:rsid w:val="00B12AC5"/>
    <w:rsid w:val="00B22348"/>
    <w:rsid w:val="00B57415"/>
    <w:rsid w:val="00B62D67"/>
    <w:rsid w:val="00B71CA8"/>
    <w:rsid w:val="00B74E39"/>
    <w:rsid w:val="00BB0C5B"/>
    <w:rsid w:val="00BE154B"/>
    <w:rsid w:val="00BE15D1"/>
    <w:rsid w:val="00BF007F"/>
    <w:rsid w:val="00C02E86"/>
    <w:rsid w:val="00C21EF9"/>
    <w:rsid w:val="00C41191"/>
    <w:rsid w:val="00C54659"/>
    <w:rsid w:val="00C777A5"/>
    <w:rsid w:val="00CA11DD"/>
    <w:rsid w:val="00CF7470"/>
    <w:rsid w:val="00D03394"/>
    <w:rsid w:val="00D1503F"/>
    <w:rsid w:val="00D451DC"/>
    <w:rsid w:val="00D560FA"/>
    <w:rsid w:val="00D706B4"/>
    <w:rsid w:val="00DB22DF"/>
    <w:rsid w:val="00DC4AE4"/>
    <w:rsid w:val="00DD6DAA"/>
    <w:rsid w:val="00DF1D74"/>
    <w:rsid w:val="00E469C0"/>
    <w:rsid w:val="00E539F9"/>
    <w:rsid w:val="00E56046"/>
    <w:rsid w:val="00E75D02"/>
    <w:rsid w:val="00E83C50"/>
    <w:rsid w:val="00E930F3"/>
    <w:rsid w:val="00E93A17"/>
    <w:rsid w:val="00E94DA6"/>
    <w:rsid w:val="00EB3FB6"/>
    <w:rsid w:val="00EC3696"/>
    <w:rsid w:val="00ED04FC"/>
    <w:rsid w:val="00EE5DDA"/>
    <w:rsid w:val="00F24715"/>
    <w:rsid w:val="00F51EA8"/>
    <w:rsid w:val="00F824CE"/>
    <w:rsid w:val="00FA1E83"/>
    <w:rsid w:val="00FB0C62"/>
    <w:rsid w:val="00FC1C7E"/>
    <w:rsid w:val="00FC2768"/>
    <w:rsid w:val="00FC458C"/>
    <w:rsid w:val="00FE4318"/>
    <w:rsid w:val="00FF1816"/>
    <w:rsid w:val="00FF2FC2"/>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B313E-DCA4-47B8-B519-BAF084E29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982</TotalTime>
  <Pages>7</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Namazi, Jonathan</cp:lastModifiedBy>
  <cp:revision>32</cp:revision>
  <cp:lastPrinted>2018-01-04T14:31:00Z</cp:lastPrinted>
  <dcterms:created xsi:type="dcterms:W3CDTF">2017-12-29T16:55:00Z</dcterms:created>
  <dcterms:modified xsi:type="dcterms:W3CDTF">2018-01-04T20:57:00Z</dcterms:modified>
</cp:coreProperties>
</file>